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600"/>
      </w:pPr>
    </w:p>
    <w:p>
      <w:pPr>
        <w:jc w:val="center"/>
      </w:pPr>
      <w:r>
        <w:drawing>
          <wp:inline distT="0" distB="0" distL="0" distR="0">
            <wp:extent cx="609600" cy="609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jc w:val="center"/>
      </w:pPr>
      <w:r>
        <w:rPr>
          <w:rFonts w:ascii="Calibri" w:cs="Calibri" w:eastAsia="Calibri" w:hAnsi="Calibri"/>
          <w:b/>
          <w:bCs/>
          <w:color w:val="0D1E33"/>
          <w:sz w:val="32"/>
          <w:szCs w:val="32"/>
        </w:rPr>
        <w:t xml:space="preserve">Praxium</w:t>
      </w:r>
      <w:r>
        <w:rPr>
          <w:rFonts w:ascii="Calibri" w:cs="Calibri" w:eastAsia="Calibri" w:hAnsi="Calibri"/>
          <w:b/>
          <w:bCs/>
          <w:i/>
          <w:iCs/>
          <w:color w:val="E8751A"/>
          <w:sz w:val="32"/>
          <w:szCs w:val="32"/>
        </w:rPr>
        <w:t xml:space="preserve">AI</w:t>
      </w:r>
    </w:p>
    <w:p>
      <w:pPr>
        <w:spacing w:after="200" w:before="600"/>
        <w:jc w:val="center"/>
      </w:pPr>
      <w:r>
        <w:rPr>
          <w:rFonts w:ascii="Calibri" w:cs="Calibri" w:eastAsia="Calibri" w:hAnsi="Calibri"/>
          <w:b/>
          <w:bCs/>
          <w:color w:val="0D1E33"/>
          <w:sz w:val="56"/>
          <w:szCs w:val="56"/>
        </w:rPr>
        <w:t xml:space="preserve">AI Governance Register</w:t>
      </w:r>
    </w:p>
    <w:p>
      <w:pPr>
        <w:spacing w:after="800"/>
        <w:jc w:val="center"/>
      </w:pPr>
      <w:r>
        <w:rPr>
          <w:rFonts w:ascii="Calibri" w:cs="Calibri" w:eastAsia="Calibri" w:hAnsi="Calibri"/>
          <w:color w:val="5C6B7A"/>
          <w:sz w:val="24"/>
          <w:szCs w:val="24"/>
        </w:rPr>
        <w:t xml:space="preserve">A working template for AI inventory, accountability and review</w:t>
      </w:r>
    </w:p>
    <w:tbl>
      <w:tblPr>
        <w:tblW w:type="dxa" w:w="6000"/>
        <w:jc w:val="center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100"/>
        <w:gridCol w:w="100"/>
      </w:tblGrid>
      <w:tr>
        <w:tc>
          <w:tcPr>
            <w:tcW w:type="dxa" w:w="20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Firm name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Date started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Maintained by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Last reviewed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before="1200"/>
        <w:jc w:val="center"/>
      </w:pPr>
      <w:r>
        <w:rPr>
          <w:rFonts w:ascii="Calibri" w:cs="Calibri" w:eastAsia="Calibri" w:hAnsi="Calibri"/>
          <w:i/>
          <w:iCs/>
          <w:color w:val="5C6B7A"/>
          <w:sz w:val="18"/>
          <w:szCs w:val="18"/>
        </w:rPr>
        <w:t xml:space="preserve">This document is yours to keep and maintain. PraxiumAI does not receive or store what you enter here.</w:t>
      </w:r>
    </w:p>
    <w:p>
      <w:r>
        <w:br w:type="page"/>
      </w:r>
    </w:p>
    <w:p>
      <w:pPr>
        <w:pStyle w:val="Heading1"/>
      </w:pPr>
      <w:r>
        <w:rPr>
          <w:rFonts w:ascii="Calibri" w:cs="Calibri" w:eastAsia="Calibri" w:hAnsi="Calibri"/>
          <w:b/>
          <w:bCs/>
          <w:color w:val="0D1E33"/>
        </w:rPr>
        <w:t xml:space="preserve">How to use this register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C6B7A"/>
          <w:sz w:val="20"/>
          <w:szCs w:val="20"/>
        </w:rPr>
        <w:t xml:space="preserve">This register gives your firm a single, evidenced record of how AI is used, who is accountable for it, and when it was last reviewed. It maps to the questions covered in the TrustProof AI Accountability Check: accountability, inventory, controls, oversight, and regulatory position.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C6B7A"/>
          <w:sz w:val="20"/>
          <w:szCs w:val="20"/>
        </w:rPr>
        <w:t xml:space="preserve">Review it at least every six months, and whenever you adopt a new AI tool or your regulatory obligations change. A gap that's informal today is a gap a regulator can ask you to evidence tomorrow.</w:t>
      </w:r>
    </w:p>
    <w:p>
      <w:r>
        <w:br w:type="page"/>
      </w:r>
    </w:p>
    <w:p>
      <w:pPr>
        <w:pStyle w:val="Heading1"/>
        <w:pBdr>
          <w:bottom w:val="single" w:color="E8751A" w:sz="4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E8751A"/>
        </w:rPr>
        <w:t xml:space="preserve">1. </w:t>
      </w:r>
      <w:r>
        <w:rPr>
          <w:rFonts w:ascii="Calibri" w:cs="Calibri" w:eastAsia="Calibri" w:hAnsi="Calibri"/>
          <w:b/>
          <w:bCs/>
          <w:color w:val="0D1E33"/>
        </w:rPr>
        <w:t xml:space="preserve">AI Tool Inventory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C6B7A"/>
          <w:sz w:val="20"/>
          <w:szCs w:val="20"/>
        </w:rPr>
        <w:t xml:space="preserve">Every AI tool in use across the firm, including embedded tools (e.g. Microsoft Copilot) and staff-initiated tools your firm did not formally select.</w:t>
      </w:r>
    </w:p>
    <w:tbl>
      <w:tblPr>
        <w:tblW w:type="dxa" w:w="950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4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Tool name</w:t>
            </w:r>
          </w:p>
        </w:tc>
        <w:tc>
          <w:tcPr>
            <w:tcW w:type="dxa" w:w="16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Purpose</w:t>
            </w:r>
          </w:p>
        </w:tc>
        <w:tc>
          <w:tcPr>
            <w:tcW w:type="dxa" w:w="9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Dept.</w:t>
            </w:r>
          </w:p>
        </w:tc>
        <w:tc>
          <w:tcPr>
            <w:tcW w:type="dxa" w:w="14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Embedded / staff-initiated</w:t>
            </w:r>
          </w:p>
        </w:tc>
        <w:tc>
          <w:tcPr>
            <w:tcW w:type="dxa" w:w="15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Data types processed</w:t>
            </w:r>
          </w:p>
        </w:tc>
        <w:tc>
          <w:tcPr>
            <w:tcW w:type="dxa" w:w="9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Risk level</w:t>
            </w:r>
          </w:p>
        </w:tc>
        <w:tc>
          <w:tcPr>
            <w:tcW w:type="dxa" w:w="12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Approval status</w:t>
            </w:r>
          </w:p>
        </w:tc>
        <w:tc>
          <w:tcPr>
            <w:tcW w:type="dxa" w:w="10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Next review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E8751A" w:sz="4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E8751A"/>
        </w:rPr>
        <w:t xml:space="preserve">2. </w:t>
      </w:r>
      <w:r>
        <w:rPr>
          <w:rFonts w:ascii="Calibri" w:cs="Calibri" w:eastAsia="Calibri" w:hAnsi="Calibri"/>
          <w:b/>
          <w:bCs/>
          <w:color w:val="0D1E33"/>
        </w:rPr>
        <w:t xml:space="preserve">Accountability Register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C6B7A"/>
          <w:sz w:val="20"/>
          <w:szCs w:val="20"/>
        </w:rPr>
        <w:t xml:space="preserve">The named, board-recognised individual accountable for AI decisions firm-wide, and the escalation route if something goes wrong.</w:t>
      </w:r>
    </w:p>
    <w:tbl>
      <w:tblPr>
        <w:tblW w:type="dxa" w:w="950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24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Named individual</w:t>
            </w:r>
          </w:p>
        </w:tc>
        <w:tc>
          <w:tcPr>
            <w:tcW w:type="dxa" w:w="24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Role / title</w:t>
            </w:r>
          </w:p>
        </w:tc>
        <w:tc>
          <w:tcPr>
            <w:tcW w:type="dxa" w:w="20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Sign-off date</w:t>
            </w:r>
          </w:p>
        </w:tc>
        <w:tc>
          <w:tcPr>
            <w:tcW w:type="dxa" w:w="27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Escalation route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E8751A" w:sz="4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E8751A"/>
        </w:rPr>
        <w:t xml:space="preserve">3. </w:t>
      </w:r>
      <w:r>
        <w:rPr>
          <w:rFonts w:ascii="Calibri" w:cs="Calibri" w:eastAsia="Calibri" w:hAnsi="Calibri"/>
          <w:b/>
          <w:bCs/>
          <w:color w:val="0D1E33"/>
        </w:rPr>
        <w:t xml:space="preserve">Review &amp; Sign-off Log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C6B7A"/>
          <w:sz w:val="20"/>
          <w:szCs w:val="20"/>
        </w:rPr>
        <w:t xml:space="preserve">Every formal review of this register: what was checked, what was found, and what action followed.</w:t>
      </w:r>
    </w:p>
    <w:tbl>
      <w:tblPr>
        <w:tblW w:type="dxa" w:w="950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4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18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Reviewer</w:t>
            </w:r>
          </w:p>
        </w:tc>
        <w:tc>
          <w:tcPr>
            <w:tcW w:type="dxa" w:w="32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Findings</w:t>
            </w:r>
          </w:p>
        </w:tc>
        <w:tc>
          <w:tcPr>
            <w:tcW w:type="dxa" w:w="31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Actions taken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E8751A" w:sz="4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E8751A"/>
        </w:rPr>
        <w:t xml:space="preserve">4. </w:t>
      </w:r>
      <w:r>
        <w:rPr>
          <w:rFonts w:ascii="Calibri" w:cs="Calibri" w:eastAsia="Calibri" w:hAnsi="Calibri"/>
          <w:b/>
          <w:bCs/>
          <w:color w:val="0D1E33"/>
        </w:rPr>
        <w:t xml:space="preserve">Incident &amp; Issue Log (optional)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C6B7A"/>
          <w:sz w:val="20"/>
          <w:szCs w:val="20"/>
        </w:rPr>
        <w:t xml:space="preserve">Any AI-related incident, near-miss, or client-facing issue: what happened, its impact, and how it was resolved.</w:t>
      </w:r>
    </w:p>
    <w:tbl>
      <w:tblPr>
        <w:tblW w:type="dxa" w:w="950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2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16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Tool involved</w:t>
            </w:r>
          </w:p>
        </w:tc>
        <w:tc>
          <w:tcPr>
            <w:tcW w:type="dxa" w:w="25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happened</w:t>
            </w:r>
          </w:p>
        </w:tc>
        <w:tc>
          <w:tcPr>
            <w:tcW w:type="dxa" w:w="21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Impact</w:t>
            </w:r>
          </w:p>
        </w:tc>
        <w:tc>
          <w:tcPr>
            <w:tcW w:type="dxa" w:w="2100"/>
            <w:shd w:fill="0D1E33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Resolution</w:t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before="500"/>
      </w:pPr>
      <w:r>
        <w:rPr>
          <w:rFonts w:ascii="Calibri" w:cs="Calibri" w:eastAsia="Calibri" w:hAnsi="Calibri"/>
          <w:i/>
          <w:iCs/>
          <w:color w:val="5C6B7A"/>
          <w:sz w:val="16"/>
          <w:szCs w:val="16"/>
        </w:rPr>
        <w:t xml:space="preserve">Produced by PraxiumAI (Pragma-Pro Consultancy Ltd) as a free resource for UK regulated professional services firms. praxiumai.ai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751A" w:sz="4" w:space="6"/>
      </w:pBdr>
      <w:jc w:val="center"/>
    </w:pPr>
    <w:r>
      <w:rPr>
        <w:rFonts w:ascii="Calibri" w:cs="Calibri" w:eastAsia="Calibri" w:hAnsi="Calibri"/>
        <w:b/>
        <w:bCs/>
        <w:color w:val="0D1E33"/>
        <w:sz w:val="16"/>
        <w:szCs w:val="16"/>
      </w:rPr>
      <w:t xml:space="preserve">Praxium</w:t>
    </w:r>
    <w:r>
      <w:rPr>
        <w:rFonts w:ascii="Calibri" w:cs="Calibri" w:eastAsia="Calibri" w:hAnsi="Calibri"/>
        <w:b/>
        <w:bCs/>
        <w:i/>
        <w:iCs/>
        <w:color w:val="E8751A"/>
        <w:sz w:val="16"/>
        <w:szCs w:val="16"/>
      </w:rPr>
      <w:t xml:space="preserve">AI</w:t>
    </w:r>
    <w:r>
      <w:rPr>
        <w:rFonts w:ascii="Calibri" w:cs="Calibri" w:eastAsia="Calibri" w:hAnsi="Calibri"/>
        <w:color w:val="5C6B7A"/>
        <w:sz w:val="16"/>
        <w:szCs w:val="16"/>
      </w:rPr>
      <w:t xml:space="preserve">   ·   praxiumai.ai   ·   Page </w:t>
    </w:r>
    <w:r>
      <w:rPr>
        <w:rFonts w:ascii="Calibri" w:cs="Calibri" w:eastAsia="Calibri" w:hAnsi="Calibri"/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751A" w:sz="4" w:space="6"/>
      </w:pBdr>
    </w:pPr>
    <w:r>
      <w:rPr>
        <w:rFonts w:ascii="Calibri" w:cs="Calibri" w:eastAsia="Calibri" w:hAnsi="Calibri"/>
        <w:b/>
        <w:bCs/>
        <w:color w:val="0D1E33"/>
        <w:sz w:val="20"/>
        <w:szCs w:val="20"/>
      </w:rPr>
      <w:t xml:space="preserve">Praxium</w:t>
    </w:r>
    <w:r>
      <w:rPr>
        <w:rFonts w:ascii="Calibri" w:cs="Calibri" w:eastAsia="Calibri" w:hAnsi="Calibri"/>
        <w:b/>
        <w:bCs/>
        <w:i/>
        <w:iCs/>
        <w:color w:val="E8751A"/>
        <w:sz w:val="20"/>
        <w:szCs w:val="20"/>
      </w:rPr>
      <w:t xml:space="preserve">AI</w:t>
    </w:r>
    <w:r>
      <w:rPr>
        <w:rFonts w:ascii="Calibri" w:cs="Calibri" w:eastAsia="Calibri" w:hAnsi="Calibri"/>
        <w:color w:val="5C6B7A"/>
        <w:sz w:val="18"/>
        <w:szCs w:val="18"/>
      </w:rPr>
      <w:t xml:space="preserve">   AI Governance Register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27f9af7623cc501aab968e85ad77cb592c6324e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2026-07-07T21:19:33.126Z</dcterms:created>
  <dcterms:modified xsi:type="dcterms:W3CDTF">2026-07-07T21:19:33.141Z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